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6889" w14:textId="43C2726B" w:rsidR="00DF676A" w:rsidRPr="00DF676A" w:rsidRDefault="00DF676A" w:rsidP="00DF676A">
      <w:pPr>
        <w:pStyle w:val="Title"/>
        <w:rPr>
          <w:bCs/>
        </w:rPr>
      </w:pPr>
      <w:r w:rsidRPr="00DF676A">
        <w:rPr>
          <w:bCs/>
        </w:rPr>
        <w:t>Tematică şi bibliografie generală</w:t>
      </w:r>
    </w:p>
    <w:p w14:paraId="0FCAFF7D" w14:textId="1F89615E" w:rsidR="00DF676A" w:rsidRDefault="00DF676A" w:rsidP="00DF676A">
      <w:pPr>
        <w:pStyle w:val="Title"/>
        <w:rPr>
          <w:b w:val="0"/>
        </w:rPr>
      </w:pPr>
      <w:r w:rsidRPr="00DF676A">
        <w:rPr>
          <w:b w:val="0"/>
        </w:rPr>
        <w:t>Daniel Spânu</w:t>
      </w:r>
    </w:p>
    <w:p w14:paraId="1FAC1034" w14:textId="7A192C32" w:rsidR="00F7789E" w:rsidRDefault="00F7789E" w:rsidP="00D92C72">
      <w:pPr>
        <w:pStyle w:val="Heading1"/>
      </w:pPr>
      <w:r w:rsidRPr="004C264F">
        <w:t>Tematic</w:t>
      </w:r>
      <w:r w:rsidR="004C264F" w:rsidRPr="004C264F">
        <w:t>ă</w:t>
      </w:r>
      <w:r w:rsidR="004C264F">
        <w:t>:</w:t>
      </w:r>
      <w:r w:rsidR="00722F24">
        <w:t xml:space="preserve"> </w:t>
      </w:r>
    </w:p>
    <w:p w14:paraId="0A671F9E" w14:textId="6F2211FF" w:rsidR="00F7789E" w:rsidRPr="00B023EB" w:rsidRDefault="00F7789E" w:rsidP="00D92C72">
      <w:pPr>
        <w:pStyle w:val="Title"/>
      </w:pPr>
      <w:r w:rsidRPr="00B023EB">
        <w:t>Metamorfoze culturale</w:t>
      </w:r>
      <w:r w:rsidR="00722F24" w:rsidRPr="00B023EB">
        <w:t xml:space="preserve"> </w:t>
      </w:r>
      <w:r w:rsidR="004C264F" w:rsidRPr="00B023EB">
        <w:t>la nord şi est de Carpaţi</w:t>
      </w:r>
      <w:r w:rsidR="00722F24" w:rsidRPr="00B023EB">
        <w:t xml:space="preserve"> </w:t>
      </w:r>
      <w:r w:rsidR="004C264F" w:rsidRPr="00B023EB">
        <w:t xml:space="preserve">în </w:t>
      </w:r>
      <w:r w:rsidRPr="00B023EB">
        <w:t>secolele I-I</w:t>
      </w:r>
      <w:r w:rsidR="0081138F">
        <w:t>V</w:t>
      </w:r>
      <w:r w:rsidRPr="00B023EB">
        <w:t xml:space="preserve"> p. Chr.</w:t>
      </w:r>
    </w:p>
    <w:p w14:paraId="61D54BE5" w14:textId="5D4E4F44" w:rsidR="004C264F" w:rsidRDefault="004C264F" w:rsidP="00B023EB">
      <w:pPr>
        <w:pStyle w:val="Heading1"/>
      </w:pPr>
      <w:r w:rsidRPr="004C264F">
        <w:t>Bibliografie</w:t>
      </w:r>
      <w:r w:rsidR="00722F24">
        <w:t xml:space="preserve"> </w:t>
      </w:r>
      <w:r w:rsidR="00722F24" w:rsidRPr="00722F24">
        <w:t>generală</w:t>
      </w:r>
    </w:p>
    <w:p w14:paraId="6689C87D" w14:textId="05F1C1FF" w:rsidR="00722F24" w:rsidRDefault="00B023EB" w:rsidP="00B023EB">
      <w:pPr>
        <w:pStyle w:val="Style2"/>
      </w:pPr>
      <w:r>
        <w:t>Protase, Suceveanu 2001</w:t>
      </w:r>
      <w:r w:rsidR="00EF40C4">
        <w:t>:</w:t>
      </w:r>
      <w:r>
        <w:t xml:space="preserve"> </w:t>
      </w:r>
      <w:r w:rsidR="00722F24">
        <w:t>D. Protase, A. Suceveanu (</w:t>
      </w:r>
      <w:r w:rsidR="00055C55">
        <w:t>coord</w:t>
      </w:r>
      <w:r w:rsidR="00722F24">
        <w:t xml:space="preserve">.), Istoria românilor. Vol. II. </w:t>
      </w:r>
      <w:r w:rsidR="00722F24" w:rsidRPr="00722F24">
        <w:t>Daco-romani, romanici, alogeni,</w:t>
      </w:r>
      <w:r w:rsidR="00722F24">
        <w:t xml:space="preserve"> Bucureşti, 2001</w:t>
      </w:r>
      <w:r w:rsidR="00055C55">
        <w:t xml:space="preserve"> (ed. 1) şi 2010 (ed. 2)</w:t>
      </w:r>
      <w:r w:rsidR="00722F24">
        <w:t>.</w:t>
      </w:r>
    </w:p>
    <w:p w14:paraId="6D421B1C" w14:textId="1454C4CE" w:rsidR="00055C55" w:rsidRPr="00055C55" w:rsidRDefault="00055C55" w:rsidP="00055C55">
      <w:pPr>
        <w:pStyle w:val="Style2"/>
      </w:pPr>
      <w:r w:rsidRPr="00055C55">
        <w:t>Spinei 1997</w:t>
      </w:r>
      <w:r w:rsidR="00EF40C4">
        <w:t>:</w:t>
      </w:r>
      <w:r w:rsidRPr="00055C55">
        <w:t xml:space="preserve"> V. Spinei (coord.), Spațiul nord-est carpatic în mileniul întunecat, Iași, 1997.</w:t>
      </w:r>
    </w:p>
    <w:p w14:paraId="4041DCD6" w14:textId="189DD5A0" w:rsidR="003872E7" w:rsidRPr="00DF676A" w:rsidRDefault="003872E7" w:rsidP="00B023EB">
      <w:pPr>
        <w:pStyle w:val="Style2"/>
      </w:pPr>
      <w:r w:rsidRPr="00055C55">
        <w:t>Щукин 1994</w:t>
      </w:r>
      <w:r w:rsidR="00EF40C4">
        <w:t>:</w:t>
      </w:r>
      <w:r w:rsidRPr="00055C55">
        <w:t xml:space="preserve"> </w:t>
      </w:r>
      <w:hyperlink r:id="rId4" w:history="1">
        <w:r w:rsidRPr="00055C55">
          <w:t>М. Щукин</w:t>
        </w:r>
      </w:hyperlink>
      <w:r w:rsidRPr="00055C55">
        <w:t xml:space="preserve">, </w:t>
      </w:r>
      <w:hyperlink r:id="rId5" w:history="1">
        <w:r w:rsidRPr="00055C55">
          <w:t>На рубеже эр: Опыт историко-археологической реконструкции политических событий III в. До н.э.</w:t>
        </w:r>
        <w:r w:rsidR="00DF676A">
          <w:t xml:space="preserve"> </w:t>
        </w:r>
        <w:r w:rsidRPr="00055C55">
          <w:t>-</w:t>
        </w:r>
        <w:r w:rsidR="00DF676A">
          <w:t xml:space="preserve"> </w:t>
        </w:r>
        <w:r w:rsidRPr="00055C55">
          <w:t>I в.н.э. в Восточной и Центральной Европе</w:t>
        </w:r>
      </w:hyperlink>
      <w:r w:rsidRPr="00055C55">
        <w:t xml:space="preserve">, </w:t>
      </w:r>
      <w:r w:rsidRPr="00DF676A">
        <w:t>Российская археологическая библиотека 2, СПб, 1994.</w:t>
      </w:r>
    </w:p>
    <w:p w14:paraId="6692437A" w14:textId="53E2B2B0" w:rsidR="00722F24" w:rsidRDefault="00722F24" w:rsidP="00B023EB">
      <w:pPr>
        <w:pStyle w:val="Heading1"/>
      </w:pPr>
      <w:r w:rsidRPr="004C264F">
        <w:t>Bibliografie</w:t>
      </w:r>
      <w:r>
        <w:t xml:space="preserve"> </w:t>
      </w:r>
      <w:r w:rsidR="00D92C72">
        <w:t>specifică</w:t>
      </w:r>
    </w:p>
    <w:p w14:paraId="79377CA9" w14:textId="462E82A0" w:rsidR="00B83557" w:rsidRDefault="00B83557" w:rsidP="00B023EB">
      <w:pPr>
        <w:pStyle w:val="Style2"/>
      </w:pPr>
      <w:r>
        <w:t>Bichir 1973</w:t>
      </w:r>
      <w:r w:rsidR="00EF40C4">
        <w:t>:</w:t>
      </w:r>
      <w:r>
        <w:t xml:space="preserve"> G. Bichir, Cultura carpică, Bucureşti 1973.</w:t>
      </w:r>
    </w:p>
    <w:p w14:paraId="59387044" w14:textId="5B9F42B5" w:rsidR="00B83557" w:rsidRDefault="00B83557" w:rsidP="00B023EB">
      <w:pPr>
        <w:pStyle w:val="Style2"/>
      </w:pPr>
      <w:r>
        <w:t>Bichir 1984</w:t>
      </w:r>
      <w:r w:rsidR="00EF40C4">
        <w:t>:</w:t>
      </w:r>
      <w:r>
        <w:t xml:space="preserve"> G. Bichir, Geto-dacii din Muntenia în epocă romană, Bucureşti, 1984.</w:t>
      </w:r>
    </w:p>
    <w:p w14:paraId="569E406E" w14:textId="288C550E" w:rsidR="00B83557" w:rsidRDefault="00B83557" w:rsidP="00B023EB">
      <w:pPr>
        <w:pStyle w:val="Style2"/>
      </w:pPr>
      <w:r>
        <w:t>Bichir 1993</w:t>
      </w:r>
      <w:r w:rsidR="00EF40C4">
        <w:t>:</w:t>
      </w:r>
      <w:r>
        <w:t xml:space="preserve"> G. Bichir, Date noi cu privire la pătrunderea sarmaţilor în teritoriul geto-dacic (I), Studii şi Comunicări de Istorie Veche şi Arheologie 44, 2, 1993, 135-170.</w:t>
      </w:r>
    </w:p>
    <w:p w14:paraId="784734DF" w14:textId="028887A3" w:rsidR="00B83557" w:rsidRDefault="00B83557" w:rsidP="00B023EB">
      <w:pPr>
        <w:pStyle w:val="Style2"/>
      </w:pPr>
      <w:r>
        <w:t>Bichir 1996</w:t>
      </w:r>
      <w:r w:rsidR="00EF40C4">
        <w:t>:</w:t>
      </w:r>
      <w:r>
        <w:t xml:space="preserve"> G. Bichir, Date noi cu privire la pătrunderea sarmaţilor în teritoriul geto-dacic (II), Studii şi Comunicări de Istorie Veche şi Arheologie 47, 3, 1996, 297-312</w:t>
      </w:r>
    </w:p>
    <w:p w14:paraId="68EAB328" w14:textId="1423886F" w:rsidR="00CE0994" w:rsidRPr="00BD7073" w:rsidRDefault="00CE0994" w:rsidP="00BD7073">
      <w:pPr>
        <w:pStyle w:val="Style2"/>
      </w:pPr>
      <w:r w:rsidRPr="00BD7073">
        <w:t>Bichir 1997</w:t>
      </w:r>
      <w:r w:rsidR="00EF40C4">
        <w:t>:</w:t>
      </w:r>
      <w:r w:rsidRPr="00BD7073">
        <w:t xml:space="preserve"> G. Bichir, Dacii liberi din nordul Daciei, in: V. Spinei (coord.), Spaţiul nord-est carpatic în mileniul întunecat, Historica, Iaşi, 1997</w:t>
      </w:r>
      <w:r w:rsidR="00F82CC0">
        <w:t xml:space="preserve">, </w:t>
      </w:r>
      <w:r w:rsidR="00F82CC0" w:rsidRPr="00F82CC0">
        <w:t>17-34.</w:t>
      </w:r>
      <w:r w:rsidR="00DF676A">
        <w:t>.</w:t>
      </w:r>
    </w:p>
    <w:p w14:paraId="1B10BC90" w14:textId="582D3D0F" w:rsidR="00B023EB" w:rsidRPr="00BD7073" w:rsidRDefault="00B023EB" w:rsidP="00BD7073">
      <w:pPr>
        <w:pStyle w:val="Style2"/>
      </w:pPr>
      <w:r w:rsidRPr="00BD7073">
        <w:t>Ignat 1997</w:t>
      </w:r>
      <w:r w:rsidR="00EF40C4">
        <w:t>:</w:t>
      </w:r>
      <w:r w:rsidRPr="00BD7073">
        <w:t xml:space="preserve"> M. Ignat, Spaţiul nord-est carpatic în secolele I - III d. Chr. , in: V. Spinei (coord.), Spaţiul nord-est carpatic în mileniul întunecat, Historica, Iaşi, 1997</w:t>
      </w:r>
      <w:r w:rsidR="00F82CC0">
        <w:t xml:space="preserve">, </w:t>
      </w:r>
      <w:r w:rsidR="00F82CC0" w:rsidRPr="00F82CC0">
        <w:t>35-43</w:t>
      </w:r>
      <w:r w:rsidR="00DF676A">
        <w:t>.</w:t>
      </w:r>
    </w:p>
    <w:p w14:paraId="1302000F" w14:textId="3F89D735" w:rsidR="00CE0994" w:rsidRDefault="00CE0994" w:rsidP="00BD7073">
      <w:pPr>
        <w:pStyle w:val="Style2"/>
      </w:pPr>
      <w:r w:rsidRPr="00BD7073">
        <w:t>Ignat 1999</w:t>
      </w:r>
      <w:r w:rsidR="00EF40C4">
        <w:t>:</w:t>
      </w:r>
      <w:r w:rsidRPr="00BD7073">
        <w:t xml:space="preserve"> M. Ignat, Dacii liberi din Moldova. Contribuţii arheologice. Necropolele de la Podeni şi</w:t>
      </w:r>
      <w:r>
        <w:t xml:space="preserve"> Zvorâştea, Iaşi, 1999.</w:t>
      </w:r>
    </w:p>
    <w:p w14:paraId="7683E2CC" w14:textId="77777777" w:rsidR="00EF40C4" w:rsidRDefault="00B83557" w:rsidP="00EF40C4">
      <w:pPr>
        <w:pStyle w:val="Style2"/>
      </w:pPr>
      <w:r>
        <w:t>Ioniţă 1982</w:t>
      </w:r>
      <w:r w:rsidR="00EF40C4">
        <w:t>:</w:t>
      </w:r>
      <w:r>
        <w:t xml:space="preserve"> I. Ioniţă, Din istoria şi civilizaţia dacilor liberi. Dacii din spaţiul est-carpatic în secolele II-IV e.n., Iaşi, 1982.</w:t>
      </w:r>
      <w:r w:rsidR="00EF40C4">
        <w:t xml:space="preserve"> </w:t>
      </w:r>
    </w:p>
    <w:p w14:paraId="6BEDFAD5" w14:textId="5E978987" w:rsidR="00EF40C4" w:rsidRDefault="00EF40C4" w:rsidP="00EF40C4">
      <w:pPr>
        <w:pStyle w:val="Style2"/>
      </w:pPr>
      <w:r>
        <w:t>Ioniţă 1997: I. Ioniţă, Die Freien Daker an der Nordöstlichen Grenze der Römischen Provinz Dakien</w:t>
      </w:r>
      <w:r>
        <w:t xml:space="preserve">, </w:t>
      </w:r>
      <w:r>
        <w:t>Acta Musei Porolissensis 21, 1997, 879-905.</w:t>
      </w:r>
    </w:p>
    <w:p w14:paraId="56A80B54" w14:textId="33AAAF90" w:rsidR="00B83557" w:rsidRDefault="00B83557" w:rsidP="00B023EB">
      <w:pPr>
        <w:pStyle w:val="Style2"/>
      </w:pPr>
      <w:r>
        <w:t>Ioniţă 2001</w:t>
      </w:r>
      <w:r w:rsidR="00EF40C4">
        <w:t>:</w:t>
      </w:r>
      <w:r>
        <w:t xml:space="preserve"> I. Ioniţă, Dacii liberi din Moldova, în: D. Protase, A. Suceveanu (ed.), Istoria românilor, vol. II, Bucureşti, 2001, 423-437.</w:t>
      </w:r>
    </w:p>
    <w:p w14:paraId="350ADF2A" w14:textId="378F4D4F" w:rsidR="0081138F" w:rsidRDefault="0081138F" w:rsidP="0081138F">
      <w:pPr>
        <w:pStyle w:val="Style2"/>
      </w:pPr>
      <w:r>
        <w:t>Lăzărescu 2015</w:t>
      </w:r>
      <w:r w:rsidR="00EF40C4">
        <w:t>:</w:t>
      </w:r>
      <w:r>
        <w:t xml:space="preserve"> V.-A. Lăzărescu, Locuirea în Transilvania din ultimele decenii ale provinciei Dacia şi până la prăbuşirea „imperiului” hunic. Cluj-Napoca, 2015.</w:t>
      </w:r>
    </w:p>
    <w:p w14:paraId="59AC91AF" w14:textId="77E70F38" w:rsidR="00B83557" w:rsidRPr="00CE0994" w:rsidRDefault="00B83557" w:rsidP="00055C55">
      <w:pPr>
        <w:pStyle w:val="Style2"/>
      </w:pPr>
      <w:r w:rsidRPr="00CE0994">
        <w:t>Liwoch, Wawer 2024</w:t>
      </w:r>
      <w:r w:rsidR="00EF40C4">
        <w:t>:</w:t>
      </w:r>
      <w:r w:rsidRPr="00CE0994">
        <w:t xml:space="preserve"> R. Liwoch, M. Wawer, </w:t>
      </w:r>
      <w:bookmarkStart w:id="0" w:name="_Hlk193991935"/>
      <w:bookmarkStart w:id="1" w:name="_Hlk193023969"/>
      <w:r w:rsidRPr="00CE0994">
        <w:t>Dakowie nad górnym Dniestrem. Eponimiczne cmentarzysko kultury Lipickiej w Lipicy Górnej(Ukraina</w:t>
      </w:r>
      <w:bookmarkEnd w:id="0"/>
      <w:r w:rsidRPr="00CE0994">
        <w:t>)/The Dacians on the Upper Dniester. The eponymic cemetery on the Lipitsa Culture in Verhna Lipica</w:t>
      </w:r>
      <w:bookmarkEnd w:id="1"/>
      <w:r w:rsidRPr="00CE0994">
        <w:t xml:space="preserve"> (Ukraine), Cracovia, 2024.</w:t>
      </w:r>
    </w:p>
    <w:p w14:paraId="61D79695" w14:textId="0B8498DE" w:rsidR="00B023EB" w:rsidRDefault="00B023EB" w:rsidP="00B023EB">
      <w:pPr>
        <w:pStyle w:val="Style2"/>
      </w:pPr>
      <w:r>
        <w:t>Mihăilescu-Bîrliba 1997</w:t>
      </w:r>
      <w:r w:rsidR="00EF40C4">
        <w:t>:</w:t>
      </w:r>
      <w:r>
        <w:t xml:space="preserve"> V. Mihăilescu-Bîrliba, The Carpathian barrows culture, </w:t>
      </w:r>
      <w:r w:rsidRPr="00CE0994">
        <w:t>Acta M</w:t>
      </w:r>
      <w:r>
        <w:t>u</w:t>
      </w:r>
      <w:r w:rsidRPr="00CE0994">
        <w:t>sei Porolisse</w:t>
      </w:r>
      <w:r>
        <w:t>n</w:t>
      </w:r>
      <w:r w:rsidRPr="00CE0994">
        <w:t xml:space="preserve">sis </w:t>
      </w:r>
      <w:r>
        <w:t xml:space="preserve">21, </w:t>
      </w:r>
      <w:r w:rsidRPr="00CE0994">
        <w:t>199</w:t>
      </w:r>
      <w:r>
        <w:t>7, 833-878.</w:t>
      </w:r>
    </w:p>
    <w:p w14:paraId="1B12C5F9" w14:textId="33D46D6E" w:rsidR="00EF40C4" w:rsidRPr="00EF40C4" w:rsidRDefault="00EF40C4" w:rsidP="00EF40C4">
      <w:pPr>
        <w:pStyle w:val="Style2"/>
        <w:rPr>
          <w:lang w:val="ro-RO"/>
        </w:rPr>
      </w:pPr>
      <w:r w:rsidRPr="00EF40C4">
        <w:rPr>
          <w:lang w:val="ro-RO"/>
        </w:rPr>
        <w:t>Niculescu 1993</w:t>
      </w:r>
      <w:r>
        <w:rPr>
          <w:lang w:val="ro-RO"/>
        </w:rPr>
        <w:t>:</w:t>
      </w:r>
      <w:r w:rsidRPr="00EF40C4">
        <w:rPr>
          <w:lang w:val="ro-RO"/>
        </w:rPr>
        <w:t xml:space="preserve"> A. Niculescu, </w:t>
      </w:r>
      <w:r w:rsidRPr="00EF40C4">
        <w:rPr>
          <w:iCs/>
          <w:lang w:val="ro-RO"/>
        </w:rPr>
        <w:t>The cremation graves from the cemetery of T</w:t>
      </w:r>
      <w:r>
        <w:rPr>
          <w:iCs/>
          <w:lang w:val="ro-RO"/>
        </w:rPr>
        <w:t>î</w:t>
      </w:r>
      <w:r w:rsidRPr="00EF40C4">
        <w:rPr>
          <w:iCs/>
          <w:lang w:val="ro-RO"/>
        </w:rPr>
        <w:t>rg</w:t>
      </w:r>
      <w:r>
        <w:rPr>
          <w:iCs/>
          <w:lang w:val="ro-RO"/>
        </w:rPr>
        <w:t>ş</w:t>
      </w:r>
      <w:r w:rsidRPr="00EF40C4">
        <w:rPr>
          <w:iCs/>
          <w:lang w:val="ro-RO"/>
        </w:rPr>
        <w:t>or (third-four</w:t>
      </w:r>
      <w:r>
        <w:rPr>
          <w:iCs/>
          <w:lang w:val="ro-RO"/>
        </w:rPr>
        <w:t>th</w:t>
      </w:r>
      <w:r w:rsidRPr="00EF40C4">
        <w:rPr>
          <w:iCs/>
          <w:lang w:val="ro-RO"/>
        </w:rPr>
        <w:t xml:space="preserve"> centuries A.D.)</w:t>
      </w:r>
      <w:r w:rsidRPr="00EF40C4">
        <w:rPr>
          <w:lang w:val="ro-RO"/>
        </w:rPr>
        <w:t>, Dacia 37, 1993, 197-220.</w:t>
      </w:r>
    </w:p>
    <w:p w14:paraId="25A0931B" w14:textId="45FE192A" w:rsidR="0081138F" w:rsidRDefault="0081138F" w:rsidP="0081138F">
      <w:pPr>
        <w:pStyle w:val="Style2"/>
      </w:pPr>
      <w:r w:rsidRPr="00130A5F">
        <w:t>Niculescu 2003</w:t>
      </w:r>
      <w:r w:rsidR="00EF40C4">
        <w:t>:</w:t>
      </w:r>
      <w:r w:rsidRPr="00130A5F">
        <w:t xml:space="preserve"> A. Niculescu, Die sarmatische Kultur im Zusamenhang der kaiserzeitlichen archäologischen Funde aus Muntenien – unter besonderer Berücksichtigung der Funde von Tîrgşor, in: C. von Carnap-Bornheim (ed.), </w:t>
      </w:r>
      <w:r w:rsidRPr="00B565B6">
        <w:rPr>
          <w:iCs/>
        </w:rPr>
        <w:t xml:space="preserve">Kontakt - Kooperation - Konflikt: Germanen und Sarmaten zwischen dem 1. und 4. Jahrhundert n. Chr., </w:t>
      </w:r>
      <w:r w:rsidRPr="00B565B6">
        <w:t>Internationales</w:t>
      </w:r>
      <w:r w:rsidRPr="00B565B6">
        <w:rPr>
          <w:iCs/>
        </w:rPr>
        <w:t xml:space="preserve"> </w:t>
      </w:r>
      <w:r w:rsidRPr="00B565B6">
        <w:t>Kolloquium des Vorgeschichtlichen Seminars der Philipps-Universität Marburg, 12.-16. Februar 1998, Wachholtz</w:t>
      </w:r>
      <w:r w:rsidR="00EF40C4">
        <w:t>,</w:t>
      </w:r>
      <w:r w:rsidRPr="00B565B6">
        <w:t xml:space="preserve"> 2003, 177-203.</w:t>
      </w:r>
    </w:p>
    <w:p w14:paraId="718D2819" w14:textId="0D604486" w:rsidR="00B83557" w:rsidRDefault="00B83557" w:rsidP="00B023EB">
      <w:pPr>
        <w:pStyle w:val="Style2"/>
      </w:pPr>
      <w:r>
        <w:t>Oţa, Sîrbu 2009</w:t>
      </w:r>
      <w:r w:rsidR="00EF40C4">
        <w:t>:</w:t>
      </w:r>
      <w:r>
        <w:t xml:space="preserve"> L. Oţa, V. Sîrbu, Sarmaţii în judeţul Brăila, Brăila, 2009.</w:t>
      </w:r>
    </w:p>
    <w:p w14:paraId="7D2495D9" w14:textId="0EA0C2BB" w:rsidR="00B023EB" w:rsidRDefault="00B023EB" w:rsidP="00B023EB">
      <w:pPr>
        <w:pStyle w:val="Style2"/>
        <w:rPr>
          <w:rFonts w:eastAsia="Times New Roman" w:hAnsi="Symbol" w:cs="Times New Roman"/>
          <w:szCs w:val="24"/>
        </w:rPr>
      </w:pPr>
      <w:r w:rsidRPr="003872E7">
        <w:t>Petolescu</w:t>
      </w:r>
      <w:r>
        <w:t xml:space="preserve"> 1997</w:t>
      </w:r>
      <w:r w:rsidR="00EF40C4">
        <w:t>:</w:t>
      </w:r>
      <w:r>
        <w:t xml:space="preserve"> C. </w:t>
      </w:r>
      <w:r w:rsidRPr="003872E7">
        <w:t xml:space="preserve">C. Petolescu, </w:t>
      </w:r>
      <w:r w:rsidRPr="003872E7">
        <w:rPr>
          <w:i/>
          <w:iCs/>
        </w:rPr>
        <w:t>Carpii în lumina izvoarelor narative şi epigrafice</w:t>
      </w:r>
      <w:r>
        <w:rPr>
          <w:i/>
          <w:iCs/>
        </w:rPr>
        <w:t>,</w:t>
      </w:r>
      <w:r w:rsidRPr="003872E7">
        <w:t xml:space="preserve"> in</w:t>
      </w:r>
      <w:r>
        <w:t>: V. Spinei (coord.),</w:t>
      </w:r>
      <w:r w:rsidRPr="003872E7">
        <w:t xml:space="preserve"> </w:t>
      </w:r>
      <w:r w:rsidRPr="003872E7">
        <w:rPr>
          <w:i/>
          <w:iCs/>
        </w:rPr>
        <w:t>Spaţiul nord-est carpatic în mileniul întunecat</w:t>
      </w:r>
      <w:r w:rsidRPr="003872E7">
        <w:t>, Historica, Iaşi, 1997</w:t>
      </w:r>
      <w:r w:rsidR="00F82CC0">
        <w:t xml:space="preserve">, </w:t>
      </w:r>
      <w:r w:rsidR="00F82CC0" w:rsidRPr="00F82CC0">
        <w:t>45-57</w:t>
      </w:r>
      <w:r w:rsidR="00DF676A">
        <w:rPr>
          <w:rFonts w:eastAsia="Times New Roman" w:hAnsi="Symbol" w:cs="Times New Roman"/>
          <w:szCs w:val="24"/>
        </w:rPr>
        <w:t>.</w:t>
      </w:r>
    </w:p>
    <w:p w14:paraId="02FBB212" w14:textId="469754F4" w:rsidR="00BD7073" w:rsidRPr="00130A5F" w:rsidRDefault="00BD7073" w:rsidP="00BD7073">
      <w:pPr>
        <w:pStyle w:val="Style2"/>
      </w:pPr>
      <w:r w:rsidRPr="00130A5F">
        <w:lastRenderedPageBreak/>
        <w:t>Petrescu 2002</w:t>
      </w:r>
      <w:r w:rsidR="00EF40C4">
        <w:t>:</w:t>
      </w:r>
      <w:r w:rsidRPr="00130A5F">
        <w:t xml:space="preserve"> F. Petrescu, </w:t>
      </w:r>
      <w:r w:rsidRPr="00130A5F">
        <w:rPr>
          <w:i/>
        </w:rPr>
        <w:t>Repertoriul monumentelor arheologice de tip Sântana de Mureş-Cerneahov de pe teritoriul României</w:t>
      </w:r>
      <w:r w:rsidRPr="00130A5F">
        <w:t>, Bucureşti 2002.</w:t>
      </w:r>
    </w:p>
    <w:p w14:paraId="64EA43AA" w14:textId="234D7A3D" w:rsidR="00B83557" w:rsidRDefault="00B83557" w:rsidP="00B023EB">
      <w:pPr>
        <w:pStyle w:val="Style2"/>
      </w:pPr>
      <w:r>
        <w:t>Popa 2015</w:t>
      </w:r>
      <w:r w:rsidR="00EF40C4">
        <w:t>:</w:t>
      </w:r>
      <w:r>
        <w:t xml:space="preserve"> A. Popa, Untersuchungen zu den römisch-barbarischen Kontakten östlich der römischen Provinz Dacia, </w:t>
      </w:r>
      <w:r w:rsidR="00B023EB">
        <w:t>in</w:t>
      </w:r>
      <w:r>
        <w:t>: G. Alföldy, N. Himmelmann-Wildschütz, F. Kolb, W. Schmidt (</w:t>
      </w:r>
      <w:r w:rsidR="00BD7073">
        <w:t>Hrsg</w:t>
      </w:r>
      <w:r>
        <w:t>.), Antiquitas. Abhandlungen zur Vor- und Frühgeschichte, zur klassischen und provinzial-römischen Archäologie und zur Geschichte des Altertums, Reihe 3, Band 47, Bonn, 2015.</w:t>
      </w:r>
    </w:p>
    <w:p w14:paraId="7E0B4A7B" w14:textId="221B95EC" w:rsidR="00B83557" w:rsidRPr="00B83557" w:rsidRDefault="00B83557" w:rsidP="00B023EB">
      <w:pPr>
        <w:pStyle w:val="Style2"/>
      </w:pPr>
      <w:r>
        <w:t>Popa 2016</w:t>
      </w:r>
      <w:r w:rsidR="00EF40C4">
        <w:t>:</w:t>
      </w:r>
      <w:r>
        <w:t xml:space="preserve"> A. Popa, Despre culturi arheologice şi identităţi etnice de la graniţele provinciei romane Dacia. Studiu de caz: cultura Lipiţa vs costobocii, Acta Musei Tutovenisis 12, 2, 2016, 133-146.</w:t>
      </w:r>
    </w:p>
    <w:p w14:paraId="18F901A7" w14:textId="6FF8F96C" w:rsidR="00AC1E47" w:rsidRDefault="00AC1E47" w:rsidP="0081138F">
      <w:pPr>
        <w:pStyle w:val="Style2"/>
      </w:pPr>
      <w:r w:rsidRPr="0081138F">
        <w:t>Spânu 2019</w:t>
      </w:r>
      <w:r w:rsidR="00EF40C4">
        <w:t>:</w:t>
      </w:r>
      <w:r w:rsidRPr="0081138F">
        <w:t xml:space="preserve"> D. Spânu, Poieneşti. Necropola din secolele II-III. Cu contribuţii de Mircea Babeş, Nicolae Miriţoiu şi Mihaela C. Culea, Cluj-Napoca, Editura Mega, 2019</w:t>
      </w:r>
      <w:r w:rsidR="00B023EB" w:rsidRPr="0081138F">
        <w:t>.</w:t>
      </w:r>
    </w:p>
    <w:p w14:paraId="42BD3A9A" w14:textId="2BBC5FD9" w:rsidR="00DF676A" w:rsidRDefault="00DF676A" w:rsidP="00DF676A">
      <w:pPr>
        <w:pStyle w:val="Style2"/>
      </w:pPr>
      <w:r>
        <w:t>Spinei 1995: V. Spinei, La Bucovine à l'époque des grandes migrations et au Moyen Âge</w:t>
      </w:r>
      <w:r>
        <w:t>,</w:t>
      </w:r>
      <w:r>
        <w:t xml:space="preserve"> Dacia, N.S. 38-39, 1994-1995 (1995), 365-388.</w:t>
      </w:r>
    </w:p>
    <w:p w14:paraId="14829EC7" w14:textId="3AEDD9BD" w:rsidR="00FC3963" w:rsidRPr="00D92C72" w:rsidRDefault="00BD7073" w:rsidP="00D92C72">
      <w:pPr>
        <w:pStyle w:val="Style2"/>
        <w:rPr>
          <w:szCs w:val="23"/>
        </w:rPr>
      </w:pPr>
      <w:r w:rsidRPr="00130A5F">
        <w:t>Wolfram 1979</w:t>
      </w:r>
      <w:r w:rsidR="00EF40C4">
        <w:t>:</w:t>
      </w:r>
      <w:r w:rsidRPr="00130A5F">
        <w:t xml:space="preserve"> H. Wolfram, Geschichte der Goten: von den Anfangen bis zur Mitte des sechsten Jahrhunderts. Entwurf einer historischen Ethnograp</w:t>
      </w:r>
      <w:r w:rsidRPr="00373423">
        <w:t>hie, München 1979.</w:t>
      </w:r>
    </w:p>
    <w:sectPr w:rsidR="00FC3963" w:rsidRPr="00D9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9E"/>
    <w:rsid w:val="00055C55"/>
    <w:rsid w:val="00082F98"/>
    <w:rsid w:val="0010213D"/>
    <w:rsid w:val="0018767E"/>
    <w:rsid w:val="00251750"/>
    <w:rsid w:val="002F1565"/>
    <w:rsid w:val="00346A8C"/>
    <w:rsid w:val="003872E7"/>
    <w:rsid w:val="00391E43"/>
    <w:rsid w:val="0040149D"/>
    <w:rsid w:val="004477FB"/>
    <w:rsid w:val="004B7E4B"/>
    <w:rsid w:val="004C264F"/>
    <w:rsid w:val="004D0606"/>
    <w:rsid w:val="006C3818"/>
    <w:rsid w:val="0072149E"/>
    <w:rsid w:val="00722F24"/>
    <w:rsid w:val="00741F5E"/>
    <w:rsid w:val="0081138F"/>
    <w:rsid w:val="008251DD"/>
    <w:rsid w:val="00956604"/>
    <w:rsid w:val="009F2F20"/>
    <w:rsid w:val="00AC1E47"/>
    <w:rsid w:val="00B023EB"/>
    <w:rsid w:val="00B83557"/>
    <w:rsid w:val="00BD7073"/>
    <w:rsid w:val="00CE0994"/>
    <w:rsid w:val="00D142FF"/>
    <w:rsid w:val="00D81824"/>
    <w:rsid w:val="00D92C72"/>
    <w:rsid w:val="00DF676A"/>
    <w:rsid w:val="00EC30DD"/>
    <w:rsid w:val="00EF40C4"/>
    <w:rsid w:val="00F7789E"/>
    <w:rsid w:val="00F82CC0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C128"/>
  <w15:chartTrackingRefBased/>
  <w15:docId w15:val="{63660B7A-2D55-4EB9-9196-573B8FE5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EB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C72"/>
    <w:pPr>
      <w:keepNext/>
      <w:keepLines/>
      <w:spacing w:before="120" w:after="120"/>
      <w:outlineLvl w:val="0"/>
    </w:pPr>
    <w:rPr>
      <w:rFonts w:eastAsiaTheme="majorEastAsia" w:cstheme="majorBidi"/>
      <w:spacing w:val="2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4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4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4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4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4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4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4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72"/>
    <w:rPr>
      <w:rFonts w:ascii="Times New Roman" w:eastAsiaTheme="majorEastAsia" w:hAnsi="Times New Roman" w:cstheme="majorBidi"/>
      <w:spacing w:val="2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49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4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4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76A"/>
    <w:pPr>
      <w:spacing w:after="80"/>
      <w:contextualSpacing/>
      <w:jc w:val="center"/>
    </w:pPr>
    <w:rPr>
      <w:rFonts w:eastAsiaTheme="majorEastAsia" w:cstheme="majorBidi"/>
      <w:b/>
      <w:spacing w:val="2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76A"/>
    <w:rPr>
      <w:rFonts w:ascii="Times New Roman" w:eastAsiaTheme="majorEastAsia" w:hAnsi="Times New Roman" w:cstheme="majorBidi"/>
      <w:b/>
      <w:spacing w:val="20"/>
      <w:kern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4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4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4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1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4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72E7"/>
    <w:rPr>
      <w:color w:val="954F72" w:themeColor="followedHyperlink"/>
      <w:u w:val="single"/>
    </w:rPr>
  </w:style>
  <w:style w:type="paragraph" w:customStyle="1" w:styleId="Style1">
    <w:name w:val="Style1"/>
    <w:basedOn w:val="Normal"/>
    <w:qFormat/>
    <w:rsid w:val="00B023EB"/>
    <w:pPr>
      <w:ind w:firstLine="288"/>
    </w:pPr>
  </w:style>
  <w:style w:type="paragraph" w:customStyle="1" w:styleId="Style2">
    <w:name w:val="Style2"/>
    <w:basedOn w:val="Normal"/>
    <w:link w:val="Style2Char"/>
    <w:uiPriority w:val="99"/>
    <w:qFormat/>
    <w:rsid w:val="0081138F"/>
    <w:pPr>
      <w:ind w:left="720" w:hanging="720"/>
    </w:pPr>
    <w:rPr>
      <w:sz w:val="22"/>
    </w:rPr>
  </w:style>
  <w:style w:type="character" w:customStyle="1" w:styleId="Style2Char">
    <w:name w:val="Style2 Char"/>
    <w:basedOn w:val="DefaultParagraphFont"/>
    <w:link w:val="Style2"/>
    <w:uiPriority w:val="99"/>
    <w:rsid w:val="00BD707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onk.spb.ru/library/schukin-mb-1994.htm" TargetMode="External"/><Relationship Id="rId4" Type="http://schemas.openxmlformats.org/officeDocument/2006/relationships/hyperlink" Target="http://xn--80aajhqhktebqcvc2c9e6cj.xn--p1ai/individuals/%D1%89%D1%83%D0%BA%D0%B8%D0%BD-%D0%BC%D0%B0%D1%80%D0%BA-%D0%B1%D0%BE%D1%80%D0%B8%D1%81%D0%BE%D0%B2%D0%B8%D1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Spanu</dc:creator>
  <cp:keywords/>
  <dc:description/>
  <cp:lastModifiedBy>Daniel Spanu</cp:lastModifiedBy>
  <cp:revision>6</cp:revision>
  <dcterms:created xsi:type="dcterms:W3CDTF">2025-06-10T16:19:00Z</dcterms:created>
  <dcterms:modified xsi:type="dcterms:W3CDTF">2025-06-12T09:17:00Z</dcterms:modified>
</cp:coreProperties>
</file>